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pBdr>
          <w:bottom w:val="single" w:sz="6" w:space="1" w:color="auto"/>
        </w:pBdr>
        <w:rPr>
          <w:b/>
          <w:sz w:val="24"/>
          <w:szCs w:val="24"/>
        </w:rPr>
      </w:pPr>
      <w:r w:rsidR="00316CDA">
        <w:rPr>
          <w:b/>
          <w:sz w:val="24"/>
          <w:szCs w:val="24"/>
        </w:rPr>
        <w:t>Databázové systémy 2</w:t>
      </w:r>
    </w:p>
    <w:p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  <w:r w:rsidR="00316CDA" w:rsidRPr="00316CDA">
        <w:rPr>
          <w:b/>
          <w:sz w:val="24"/>
          <w:szCs w:val="24"/>
        </w:rPr>
        <w:t xml:space="preserve">19 Metody dolování znalostí </w:t>
      </w:r>
      <w:r w:rsidR="00316CDA" w:rsidRPr="00316CDA">
        <w:rPr>
          <w:b/>
          <w:sz w:val="24"/>
          <w:szCs w:val="24"/>
          <w:lang w:val="en-US"/>
        </w:rPr>
        <w:t>(</w:t>
      </w:r>
      <w:r w:rsidR="00316CDA">
        <w:rPr>
          <w:b/>
          <w:sz w:val="24"/>
          <w:szCs w:val="24"/>
          <w:lang w:val="en-US"/>
        </w:rPr>
        <w:t>update</w:t>
      </w:r>
      <w:r w:rsidR="00316CDA" w:rsidRPr="00316CDA">
        <w:rPr>
          <w:b/>
          <w:sz w:val="24"/>
          <w:szCs w:val="24"/>
          <w:lang w:val="en-US"/>
        </w:rPr>
        <w:t>)</w:t>
      </w:r>
    </w:p>
    <w:p>
      <w:pPr>
        <w:rPr>
          <w:sz w:val="24"/>
          <w:szCs w:val="24"/>
          <w:lang w:val="en-US"/>
        </w:rPr>
      </w:pPr>
      <w:r w:rsidR="00316CDA" w:rsidRPr="00FC34A9">
        <w:rPr>
          <w:sz w:val="24"/>
          <w:szCs w:val="24"/>
          <w:lang w:val="en-US"/>
        </w:rPr>
        <w:t>Dolováním znalostí nazýváme proces netriviálního získávání implicitní, dříve neznámé a potenciálně užitečné informace z dat.</w:t>
      </w:r>
    </w:p>
    <w:p>
      <w:pPr>
        <w:rPr>
          <w:sz w:val="24"/>
          <w:szCs w:val="24"/>
        </w:rPr>
      </w:pPr>
      <w:r w:rsidR="00F35837">
        <w:rPr>
          <w:sz w:val="24"/>
          <w:szCs w:val="24"/>
          <w:lang w:val="en-US"/>
        </w:rPr>
        <w:t>Znalosti získáváme z numerických dat a z dat nenumerických – multimediálních (obrázky, hudba, video)</w:t>
      </w:r>
      <w:r w:rsidR="00F35837">
        <w:rPr>
          <w:sz w:val="24"/>
          <w:szCs w:val="24"/>
        </w:rPr>
        <w:t>. Metody dolování znalostí dat jsou založena na metodách numerických, proto musejí být data nenumerická nejdříve na data numerická převedena.</w:t>
      </w:r>
    </w:p>
    <w:p>
      <w:pPr>
        <w:pStyle w:val="Heading1"/>
        <w:rPr>
          <w:rFonts w:asciiTheme="minorHAnsi" w:hAnsiTheme="minorHAnsi"/>
          <w:sz w:val="24"/>
          <w:szCs w:val="24"/>
          <w:lang w:val="en-US"/>
        </w:rPr>
      </w:pPr>
      <w:r w:rsidR="00316CDA" w:rsidRPr="00FC34A9">
        <w:rPr>
          <w:rFonts w:asciiTheme="minorHAnsi" w:hAnsiTheme="minorHAnsi"/>
          <w:sz w:val="24"/>
          <w:szCs w:val="24"/>
          <w:lang w:val="en-US"/>
        </w:rPr>
        <w:t>Předzpracování dat před dolováním znalostí</w:t>
      </w:r>
    </w:p>
    <w:p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="00316CDA" w:rsidRPr="00FC34A9">
        <w:rPr>
          <w:rFonts w:asciiTheme="minorHAnsi" w:hAnsiTheme="minorHAnsi"/>
          <w:b/>
          <w:lang w:val="en-US"/>
        </w:rPr>
        <w:t xml:space="preserve">Filtrace a integrace dat </w:t>
      </w:r>
      <w:r w:rsidR="00316CDA" w:rsidRPr="00FC34A9">
        <w:rPr>
          <w:rFonts w:asciiTheme="minorHAnsi" w:hAnsiTheme="minorHAnsi"/>
          <w:lang w:val="en-US"/>
        </w:rPr>
        <w:t xml:space="preserve">– výběr atributů vhodných pro analýzu, </w:t>
      </w:r>
      <w:r w:rsidR="00316CDA" w:rsidRPr="00FC34A9">
        <w:rPr>
          <w:rFonts w:asciiTheme="minorHAnsi" w:hAnsiTheme="minorHAnsi"/>
        </w:rPr>
        <w:t>ošetření nebo vyloučení dat chybných, chybějících, redundandních, irelevantních, konstantních</w:t>
      </w:r>
      <w:r w:rsidR="00316CDA" w:rsidRPr="00FC34A9">
        <w:rPr>
          <w:rFonts w:asciiTheme="minorHAnsi" w:hAnsiTheme="minorHAnsi"/>
          <w:lang w:val="en-US"/>
        </w:rPr>
        <w:t>;</w:t>
      </w:r>
      <w:r w:rsidR="00316CDA" w:rsidRPr="00FC34A9">
        <w:rPr>
          <w:rFonts w:asciiTheme="minorHAnsi" w:hAnsiTheme="minorHAnsi"/>
        </w:rPr>
        <w:t xml:space="preserve"> sjednocení formátů, měrných jednotek; numerické zakódování některých dat, sjednocení kódování; kategorizace a dichotomizace dat </w:t>
      </w:r>
    </w:p>
    <w:p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="00316CDA" w:rsidRPr="00FC34A9">
        <w:rPr>
          <w:rFonts w:asciiTheme="minorHAnsi" w:hAnsiTheme="minorHAnsi"/>
          <w:b/>
          <w:lang w:val="en-US"/>
        </w:rPr>
        <w:t xml:space="preserve">Transformace - </w:t>
      </w:r>
      <w:r w:rsidR="00316CDA" w:rsidRPr="00FC34A9">
        <w:rPr>
          <w:rFonts w:asciiTheme="minorHAnsi" w:hAnsiTheme="minorHAnsi"/>
        </w:rPr>
        <w:t>standardizace atributů (odstranění závislosti reálných atributů na jednotkách měření), normalizace objektů (odstranění závislosti na velikosti objektu), hlavní komponenty</w:t>
      </w:r>
    </w:p>
    <w:p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="00316CDA" w:rsidRPr="00FC34A9">
        <w:rPr>
          <w:rFonts w:asciiTheme="minorHAnsi" w:hAnsiTheme="minorHAnsi"/>
          <w:b/>
          <w:lang w:val="en-US"/>
        </w:rPr>
        <w:t xml:space="preserve">Odvozování  - </w:t>
      </w:r>
      <w:r w:rsidR="00316CDA" w:rsidRPr="00FC34A9">
        <w:rPr>
          <w:rFonts w:asciiTheme="minorHAnsi" w:hAnsiTheme="minorHAnsi"/>
        </w:rPr>
        <w:t xml:space="preserve">odvozené atributy • agregované údaje </w:t>
      </w:r>
    </w:p>
    <w:p>
      <w:pPr>
        <w:pStyle w:val="Heading1"/>
        <w:rPr>
          <w:rFonts w:asciiTheme="minorHAnsi" w:hAnsiTheme="minorHAnsi"/>
          <w:sz w:val="24"/>
          <w:szCs w:val="24"/>
        </w:rPr>
      </w:pPr>
      <w:r w:rsidR="00316CDA" w:rsidRPr="00FC34A9">
        <w:rPr>
          <w:rFonts w:asciiTheme="minorHAnsi" w:hAnsiTheme="minorHAnsi"/>
          <w:sz w:val="24"/>
          <w:szCs w:val="24"/>
          <w:lang w:val="en-US"/>
        </w:rPr>
        <w:t>Metody dolov</w:t>
      </w:r>
      <w:r w:rsidR="00316CDA" w:rsidRPr="00FC34A9">
        <w:rPr>
          <w:rFonts w:asciiTheme="minorHAnsi" w:hAnsiTheme="minorHAnsi"/>
          <w:sz w:val="24"/>
          <w:szCs w:val="24"/>
        </w:rPr>
        <w:t>ání znalostí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="00316CDA" w:rsidRPr="00FC34A9">
        <w:rPr>
          <w:b/>
          <w:sz w:val="24"/>
          <w:szCs w:val="24"/>
        </w:rPr>
        <w:t>Asociace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="00316CDA" w:rsidRPr="00FC34A9">
        <w:rPr>
          <w:b/>
          <w:sz w:val="24"/>
          <w:szCs w:val="24"/>
        </w:rPr>
        <w:t>Shlukování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="00316CDA" w:rsidRPr="00FC34A9">
        <w:rPr>
          <w:b/>
          <w:sz w:val="24"/>
          <w:szCs w:val="24"/>
        </w:rPr>
        <w:t>Rozhodovací stromy</w:t>
      </w:r>
    </w:p>
    <w:p>
      <w:pPr>
        <w:pStyle w:val="Heading2"/>
        <w:rPr>
          <w:rFonts w:asciiTheme="minorHAnsi" w:hAnsiTheme="minorHAnsi"/>
          <w:sz w:val="24"/>
          <w:szCs w:val="24"/>
        </w:rPr>
      </w:pPr>
    </w:p>
    <w:p>
      <w:pPr>
        <w:pStyle w:val="Heading2"/>
        <w:rPr>
          <w:rFonts w:asciiTheme="minorHAnsi" w:hAnsiTheme="minorHAnsi"/>
          <w:sz w:val="24"/>
          <w:szCs w:val="24"/>
        </w:rPr>
      </w:pPr>
      <w:r w:rsidR="00316CDA" w:rsidRPr="00FC34A9">
        <w:rPr>
          <w:rFonts w:asciiTheme="minorHAnsi" w:hAnsiTheme="minorHAnsi"/>
          <w:sz w:val="24"/>
          <w:szCs w:val="24"/>
        </w:rPr>
        <w:t>Asociace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Klasické – mezi dvěma podmnožinami atributů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Transakční – v rámci množiny atributů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Agregované – mezi podmnožinou atributů a jejich charakteristikami</w:t>
      </w:r>
    </w:p>
    <w:p>
      <w:pPr>
        <w:rPr>
          <w:b/>
          <w:sz w:val="24"/>
          <w:szCs w:val="24"/>
        </w:rPr>
      </w:pPr>
      <w:r w:rsidR="00112B75" w:rsidRPr="00FC34A9">
        <w:rPr>
          <w:b/>
          <w:sz w:val="24"/>
          <w:szCs w:val="24"/>
        </w:rPr>
        <w:t>Algoritmy generující asociace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Triviální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Uspořádané generování pravidel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Vzorkování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K-množiny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…</w:t>
      </w:r>
    </w:p>
    <w:p>
      <w:pPr>
        <w:rPr>
          <w:sz w:val="24"/>
          <w:szCs w:val="24"/>
        </w:rPr>
      </w:pPr>
      <w:r w:rsidR="00FC34A9">
        <w:rPr>
          <w:sz w:val="24"/>
          <w:szCs w:val="24"/>
        </w:rPr>
        <w:t>Transakční asociace jsou zpracovány podrobně v předcházející přednášce – analýza nákupního košíku.</w:t>
      </w:r>
    </w:p>
    <w:p>
      <w:pPr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  <w:r w:rsidR="00FC34A9">
        <w:rPr>
          <w:sz w:val="24"/>
          <w:szCs w:val="24"/>
        </w:rPr>
        <w:br w:type="page"/>
      </w:r>
    </w:p>
    <w:p>
      <w:pPr>
        <w:pStyle w:val="Heading2"/>
        <w:rPr>
          <w:rFonts w:asciiTheme="minorHAnsi" w:hAnsiTheme="minorHAnsi"/>
          <w:sz w:val="24"/>
          <w:szCs w:val="24"/>
        </w:rPr>
      </w:pPr>
      <w:r w:rsidR="00112B75" w:rsidRPr="00FC34A9">
        <w:rPr>
          <w:rFonts w:asciiTheme="minorHAnsi" w:hAnsiTheme="minorHAnsi"/>
          <w:sz w:val="24"/>
          <w:szCs w:val="24"/>
        </w:rPr>
        <w:t>Shluková analýza</w:t>
      </w:r>
    </w:p>
    <w:p/>
    <w:p>
      <w:r w:rsidR="00FC34A9">
        <w:rPr>
          <w:noProof/>
        </w:rPr>
        <w:drawing>
          <wp:inline>
            <wp:extent cx="2312541" cy="1916320"/>
            <wp:effectExtent l="9525" t="9525" r="21084" b="17255"/>
            <wp:docPr id="2" name="Picture 2"/>
            <wp:cNvGraphicFramePr>
              <a:graphicFrameLocks xmlns:a="http://schemas.openxmlformats.org/drawingml/2006/3/main" noChangeAspect="1"/>
            </wp:cNvGraphicFramePr>
            <a:graphic xmlns:a="http://schemas.openxmlformats.org/drawingml/2006/3/main">
              <a:graphicData uri="http://schemas.openxmlformats.org/drawingml/2006/3/picture">
                <pic:pic xmlns:pic="http://schemas.openxmlformats.org/drawingml/2006/3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40" cy="191651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numPr>
          <w:ilvl w:val="0"/>
          <w:numId w:val="1"/>
        </w:numPr>
        <w:spacing w:before="120"/>
        <w:ind w:right="2535"/>
        <w:jc w:val="both"/>
        <w:rPr>
          <w:rFonts w:asciiTheme="minorHAnsi" w:hAnsiTheme="minorHAnsi"/>
        </w:rPr>
      </w:pPr>
      <w:r w:rsidR="00112B75" w:rsidRPr="00FC34A9">
        <w:rPr>
          <w:rFonts w:asciiTheme="minorHAnsi" w:hAnsiTheme="minorHAnsi"/>
        </w:rPr>
        <w:t>analýzuje, zda se množina objektů</w:t>
      </w:r>
      <w:r w:rsidR="00FC34A9">
        <w:rPr>
          <w:rFonts w:asciiTheme="minorHAnsi" w:hAnsiTheme="minorHAnsi"/>
        </w:rPr>
        <w:t xml:space="preserve"> </w:t>
      </w:r>
      <w:r w:rsidR="00112B75" w:rsidRPr="00FC34A9">
        <w:rPr>
          <w:rFonts w:asciiTheme="minorHAnsi" w:hAnsiTheme="minorHAnsi"/>
        </w:rPr>
        <w:t>přirozeně rozpa</w:t>
      </w:r>
      <w:r w:rsidR="00FC34A9">
        <w:rPr>
          <w:rFonts w:asciiTheme="minorHAnsi" w:hAnsiTheme="minorHAnsi"/>
        </w:rPr>
        <w:t>d</w:t>
      </w:r>
      <w:r w:rsidR="00112B75" w:rsidRPr="00FC34A9">
        <w:rPr>
          <w:rFonts w:asciiTheme="minorHAnsi" w:hAnsiTheme="minorHAnsi"/>
        </w:rPr>
        <w:t>á na výrazné podmnožiny (</w:t>
      </w:r>
      <w:r w:rsidR="00112B75" w:rsidRPr="00FC34A9">
        <w:rPr>
          <w:rFonts w:asciiTheme="minorHAnsi" w:hAnsiTheme="minorHAnsi"/>
          <w:bCs/>
        </w:rPr>
        <w:t>shluky</w:t>
      </w:r>
      <w:r w:rsidR="00112B75" w:rsidRPr="00FC34A9">
        <w:rPr>
          <w:rFonts w:asciiTheme="minorHAnsi" w:hAnsiTheme="minorHAnsi"/>
        </w:rPr>
        <w:t xml:space="preserve">) objektů </w:t>
      </w:r>
      <w:r w:rsidR="00FC34A9">
        <w:rPr>
          <w:rFonts w:asciiTheme="minorHAnsi" w:hAnsiTheme="minorHAnsi"/>
        </w:rPr>
        <w:t xml:space="preserve">vzájemně </w:t>
      </w:r>
      <w:r w:rsidR="00112B75" w:rsidRPr="00FC34A9">
        <w:rPr>
          <w:rFonts w:asciiTheme="minorHAnsi" w:hAnsiTheme="minorHAnsi"/>
        </w:rPr>
        <w:t>si podobných a  přitom nepodobných objektům podmnožin ostatních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případně dále analyzuje, zda existuje celá hierarchie takových rozkladů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pokud shluky existují, čím jsou charakteristické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jak se případné další objekty zařadí do již definovaných shluků</w:t>
      </w:r>
    </w:p>
    <w:p>
      <w:pPr>
        <w:rPr>
          <w:sz w:val="24"/>
          <w:szCs w:val="24"/>
          <w:lang w:val="en-US"/>
        </w:rPr>
      </w:pPr>
      <w:r w:rsidR="00112B75" w:rsidRPr="00FC34A9">
        <w:rPr>
          <w:sz w:val="24"/>
          <w:szCs w:val="24"/>
        </w:rPr>
        <w:t xml:space="preserve">Shluková analýza netvoří ucelenou teorii, ale je to řada metod založených na různých principech </w:t>
      </w:r>
      <w:r w:rsidR="00112B75" w:rsidRPr="00FC34A9">
        <w:rPr>
          <w:sz w:val="24"/>
          <w:szCs w:val="24"/>
          <w:lang w:val="en-US"/>
        </w:rPr>
        <w:t>(</w:t>
      </w:r>
      <w:r w:rsidR="00112B75" w:rsidRPr="00FC34A9">
        <w:rPr>
          <w:sz w:val="24"/>
          <w:szCs w:val="24"/>
        </w:rPr>
        <w:t>různorodost řešených problémů, požadovaných typů výsledků, velká data, neurčitost definice shluku</w:t>
      </w:r>
      <w:r w:rsidR="00112B75" w:rsidRPr="00FC34A9">
        <w:rPr>
          <w:sz w:val="24"/>
          <w:szCs w:val="24"/>
          <w:lang w:val="en-US"/>
        </w:rPr>
        <w:t>)</w:t>
      </w:r>
    </w:p>
    <w:p>
      <w:pPr>
        <w:rPr>
          <w:b/>
          <w:sz w:val="24"/>
          <w:szCs w:val="24"/>
        </w:rPr>
      </w:pPr>
      <w:r w:rsidR="00112B75" w:rsidRPr="00FC34A9">
        <w:rPr>
          <w:b/>
          <w:sz w:val="24"/>
          <w:szCs w:val="24"/>
          <w:lang w:val="en-US"/>
        </w:rPr>
        <w:t>Metody dle c</w:t>
      </w:r>
      <w:r w:rsidR="00112B75" w:rsidRPr="00FC34A9">
        <w:rPr>
          <w:b/>
          <w:sz w:val="24"/>
          <w:szCs w:val="24"/>
        </w:rPr>
        <w:t>íle shlukování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hierarchické</w:t>
      </w:r>
      <w:r w:rsidR="008048F7" w:rsidRPr="00FC34A9">
        <w:rPr>
          <w:sz w:val="24"/>
          <w:szCs w:val="24"/>
        </w:rPr>
        <w:t xml:space="preserve"> – produkující hierarchii rozkladů, kde každý rozklad je zjemněním předcházejícího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nehierarchické</w:t>
      </w:r>
      <w:r w:rsidR="008048F7" w:rsidRPr="00FC34A9">
        <w:rPr>
          <w:sz w:val="24"/>
          <w:szCs w:val="24"/>
        </w:rPr>
        <w:t xml:space="preserve"> – produkující prostý rozklad objektů na podmnožiny</w:t>
      </w:r>
    </w:p>
    <w:p>
      <w:pPr>
        <w:rPr>
          <w:b/>
          <w:sz w:val="24"/>
          <w:szCs w:val="24"/>
        </w:rPr>
      </w:pPr>
      <w:r w:rsidR="00112B75" w:rsidRPr="00FC34A9">
        <w:rPr>
          <w:b/>
          <w:sz w:val="24"/>
          <w:szCs w:val="24"/>
        </w:rPr>
        <w:t>Metody dle typu výsledných shluků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shluky kulové, body soustředěny kolem svého těžiště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8048F7" w:rsidRPr="00FC34A9">
        <w:rPr>
          <w:sz w:val="24"/>
          <w:szCs w:val="24"/>
        </w:rPr>
        <w:t>shluky obecné tvoří souvislé husté oblasti nejrůznějších tvarů</w:t>
      </w:r>
    </w:p>
    <w:p>
      <w:pPr>
        <w:rPr>
          <w:b/>
          <w:sz w:val="24"/>
          <w:szCs w:val="24"/>
        </w:rPr>
      </w:pPr>
      <w:r w:rsidR="00112B75" w:rsidRPr="00FC34A9">
        <w:rPr>
          <w:b/>
          <w:sz w:val="24"/>
          <w:szCs w:val="24"/>
        </w:rPr>
        <w:t>Metody dle typu rozkladu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shluky disjunktní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112B75" w:rsidRPr="00FC34A9">
        <w:rPr>
          <w:sz w:val="24"/>
          <w:szCs w:val="24"/>
        </w:rPr>
        <w:t>shluky překrývající se</w:t>
      </w:r>
    </w:p>
    <w:p>
      <w:pPr>
        <w:pStyle w:val="Default"/>
        <w:rPr>
          <w:rFonts w:asciiTheme="minorHAnsi" w:hAnsiTheme="minorHAnsi"/>
          <w:b/>
        </w:rPr>
      </w:pPr>
      <w:r w:rsidR="008048F7" w:rsidRPr="00FC34A9">
        <w:rPr>
          <w:rFonts w:asciiTheme="minorHAnsi" w:hAnsiTheme="minorHAnsi"/>
          <w:b/>
        </w:rPr>
        <w:t>Algoritmy</w:t>
      </w:r>
    </w:p>
    <w:p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="008048F7" w:rsidRPr="00FC34A9">
        <w:rPr>
          <w:rFonts w:asciiTheme="minorHAnsi" w:hAnsiTheme="minorHAnsi"/>
        </w:rPr>
        <w:t xml:space="preserve">nehierarchické </w:t>
      </w:r>
      <w:r w:rsidR="008048F7" w:rsidRPr="00FC34A9">
        <w:rPr>
          <w:rFonts w:asciiTheme="minorHAnsi" w:hAnsiTheme="minorHAnsi"/>
          <w:lang w:val="en-US"/>
        </w:rPr>
        <w:t>(optimalizační k-středové, analýzy módů, fuzzy k-středové, neuronové sítě)</w:t>
      </w:r>
    </w:p>
    <w:p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="008048F7" w:rsidRPr="00FC34A9">
        <w:rPr>
          <w:rFonts w:asciiTheme="minorHAnsi" w:hAnsiTheme="minorHAnsi"/>
          <w:lang w:val="en-US"/>
        </w:rPr>
        <w:t>hierarchick</w:t>
      </w:r>
      <w:r w:rsidR="008048F7" w:rsidRPr="00FC34A9">
        <w:rPr>
          <w:rFonts w:asciiTheme="minorHAnsi" w:hAnsiTheme="minorHAnsi"/>
        </w:rPr>
        <w:t xml:space="preserve">é </w:t>
      </w:r>
      <w:r w:rsidR="008048F7" w:rsidRPr="00FC34A9">
        <w:rPr>
          <w:rFonts w:asciiTheme="minorHAnsi" w:hAnsiTheme="minorHAnsi"/>
          <w:lang w:val="en-US"/>
        </w:rPr>
        <w:t>( aglomerativn</w:t>
      </w:r>
      <w:r w:rsidR="008048F7" w:rsidRPr="00FC34A9">
        <w:rPr>
          <w:rFonts w:asciiTheme="minorHAnsi" w:hAnsiTheme="minorHAnsi"/>
        </w:rPr>
        <w:t>í</w:t>
      </w:r>
      <w:r w:rsidR="008048F7" w:rsidRPr="00FC34A9">
        <w:rPr>
          <w:rFonts w:asciiTheme="minorHAnsi" w:hAnsiTheme="minorHAnsi"/>
          <w:lang w:val="en-US"/>
        </w:rPr>
        <w:t>, divi</w:t>
      </w:r>
      <w:r w:rsidR="008048F7" w:rsidRPr="00FC34A9">
        <w:rPr>
          <w:rFonts w:asciiTheme="minorHAnsi" w:hAnsiTheme="minorHAnsi"/>
        </w:rPr>
        <w:t>zivní</w:t>
      </w:r>
      <w:r w:rsidR="008048F7" w:rsidRPr="00FC34A9">
        <w:rPr>
          <w:rFonts w:asciiTheme="minorHAnsi" w:hAnsiTheme="minorHAnsi"/>
          <w:lang w:val="en-US"/>
        </w:rPr>
        <w:t>)</w:t>
      </w:r>
    </w:p>
    <w:p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="008048F7" w:rsidRPr="00FC34A9">
        <w:rPr>
          <w:rFonts w:asciiTheme="minorHAnsi" w:hAnsiTheme="minorHAnsi"/>
          <w:lang w:val="en-US"/>
        </w:rPr>
        <w:t>vzorkování</w:t>
      </w:r>
      <w:r w:rsidR="008048F7" w:rsidRPr="00FC34A9">
        <w:rPr>
          <w:rFonts w:asciiTheme="minorHAnsi" w:hAnsiTheme="minorHAnsi"/>
        </w:rPr>
        <w:t xml:space="preserve"> </w:t>
      </w:r>
    </w:p>
    <w:p>
      <w:pPr>
        <w:pStyle w:val="Default"/>
        <w:pBdr>
          <w:bottom w:val="single" w:sz="6" w:space="1" w:color="auto"/>
        </w:pBdr>
        <w:rPr>
          <w:rStyle w:val="Heading2Char"/>
        </w:rPr>
      </w:pPr>
      <w:r w:rsidR="008048F7" w:rsidRPr="00FC34A9">
        <w:rPr>
          <w:rStyle w:val="Heading2Char"/>
        </w:rPr>
        <w:t>Rozhodovací stromy</w:t>
      </w:r>
      <w:r w:rsidR="008048F7">
        <w:rPr>
          <w:noProof/>
          <w:lang w:eastAsia="cs-CZ"/>
        </w:rPr>
        <w:drawing>
          <wp:inline>
            <wp:extent cx="3020666" cy="4551454"/>
            <wp:effectExtent l="771525" t="0" r="779809" b="0"/>
            <wp:docPr id="1" name="Picture 1"/>
            <wp:cNvGraphicFramePr>
              <a:graphicFrameLocks xmlns:a="http://schemas.openxmlformats.org/drawingml/2006/3/main" noChangeAspect="1"/>
            </wp:cNvGraphicFramePr>
            <a:graphic xmlns:a="http://schemas.openxmlformats.org/drawingml/2006/3/main">
              <a:graphicData uri="http://schemas.openxmlformats.org/drawingml/2006/3/picture">
                <pic:pic xmlns:pic="http://schemas.openxmlformats.org/drawingml/2006/3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4590" cy="455881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/>
        <w:rPr>
          <w:lang w:val="en-US"/>
        </w:rPr>
      </w:pPr>
      <w:r w:rsidR="00FC34A9">
        <w:t xml:space="preserve">Poznámky </w:t>
      </w:r>
      <w:r w:rsidR="00FC34A9">
        <w:rPr>
          <w:lang w:val="en-US"/>
        </w:rPr>
        <w:t xml:space="preserve">: </w:t>
      </w:r>
    </w:p>
    <w:p>
      <w:pPr>
        <w:spacing w:after="0"/>
      </w:pPr>
      <w:r w:rsidR="00FC34A9">
        <w:rPr>
          <w:lang w:val="en-US"/>
        </w:rPr>
        <w:t>metoda k-st</w:t>
      </w:r>
      <w:r w:rsidR="00FC34A9">
        <w:t>ředové = k-means</w:t>
      </w:r>
    </w:p>
    <w:p>
      <w:pPr>
        <w:spacing w:after="0"/>
      </w:pPr>
      <w:r w:rsidR="00FC34A9">
        <w:t>další metody uvedené v původní verzi je možné zmínit jen informačně</w:t>
      </w:r>
    </w:p>
    <w:p/>
    <w:sectPr w:rsidR="00FC34A9" w:rsidSect="00BD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4F8D0A16"/>
    <w:multiLevelType w:val="hybridMultilevel"/>
    <w:tmpl w:val="675C8F92"/>
    <w:lvl w:ilvl="0" w:tplc="FECEDF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defaultTabStop w:val="708"/>
  <w:hyphenationZone w:val="425"/>
  <w:characterSpacingControl w:val="dontCompress"/>
  <w:compat/>
  <w:rsids>
    <w:rsidRoot w:val="00316CDA"/>
    <w:rsid w:val="00112B75"/>
    <w:rsid w:val="00316CDA"/>
    <w:rsid w:val="008048F7"/>
    <w:rsid w:val="00BD6554"/>
    <w:rsid w:val="00F35837"/>
    <w:rsid w:val="00FC34A9"/>
  </w:rsids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BD6554"/>
    <w:rPr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5B86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DA"/>
    <w:pPr>
      <w:ind w:left="720"/>
      <w:contextualSpacing/>
    </w:pPr>
  </w:style>
  <w:style w:type="paragraph" w:customStyle="1" w:styleId="Default">
    <w:name w:val="Default"/>
    <w:rsid w:val="00316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12B75"/>
    <w:pPr>
      <w:spacing w:after="0" w:line="240" w:lineRule="auto"/>
    </w:pPr>
    <w:rPr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112B75"/>
    <w:rPr>
      <w:rFonts w:asciiTheme="majorHAnsi" w:eastAsiaTheme="majorEastAsia" w:hAnsiTheme="majorHAnsi" w:cstheme="majorBidi"/>
      <w:b/>
      <w:bCs/>
      <w:color w:val="385B86" w:themeColor="accent1" w:themeShade="B5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11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112B75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112B75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F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2006-06-10T08:45:00Z</dcterms:created>
  <dcterms:modified xsi:type="dcterms:W3CDTF">2006-06-10T09:37:00Z</dcterms:modified>
</cp:coreProperties>
</file>